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Quantification Methodology &amp; Data Sourcing</w:t>
      </w:r>
    </w:p>
    <w:p>
      <w:pPr>
        <w:pStyle w:val="Heading1"/>
      </w:pPr>
      <w:r>
        <w:t>Biomimetic Ocean Iron Flux Replacement — Research Mass-Balance Framework</w:t>
      </w:r>
    </w:p>
    <w:p>
      <w:r>
        <w:rPr>
          <w:b/>
        </w:rPr>
        <w:t>Mathematical derivations, literature baselines, regional scaling models, and APA 7th references for an Eastern Tropical Pacific hypothetical restorative iron mass-balance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</w:r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>
              <w:rPr>
                <w:b/>
              </w:rPr>
            </w:r>
            <w:r>
              <w:rPr>
                <w:b/>
              </w:rPr>
              <w:t>Value</w:t>
            </w:r>
          </w:p>
        </w:tc>
      </w:tr>
      <w:tr>
        <w:tc>
          <w:tcPr>
            <w:tcW w:type="dxa" w:w="4680"/>
          </w:tcPr>
          <w:p>
            <w:r/>
            <w:r>
              <w:t>Document type</w:t>
            </w:r>
          </w:p>
        </w:tc>
        <w:tc>
          <w:tcPr>
            <w:tcW w:type="dxa" w:w="4680"/>
          </w:tcPr>
          <w:p>
            <w:r/>
            <w:r>
              <w:t>Biogeochemical mass-balance methodology (research / literature synthesis)</w:t>
            </w:r>
          </w:p>
        </w:tc>
      </w:tr>
      <w:tr>
        <w:tc>
          <w:tcPr>
            <w:tcW w:type="dxa" w:w="4680"/>
          </w:tcPr>
          <w:p>
            <w:r/>
            <w:r>
              <w:t>Spatial domain</w:t>
            </w:r>
          </w:p>
        </w:tc>
        <w:tc>
          <w:tcPr>
            <w:tcW w:type="dxa" w:w="4680"/>
          </w:tcPr>
          <w:p>
            <w:r/>
            <w:r>
              <w:t>Eastern Tropical Pacific (ETP) — illustrative analysis boxes</w:t>
            </w:r>
          </w:p>
        </w:tc>
      </w:tr>
      <w:tr>
        <w:tc>
          <w:tcPr>
            <w:tcW w:type="dxa" w:w="4680"/>
          </w:tcPr>
          <w:p>
            <w:r/>
            <w:r>
              <w:t>Citation standard</w:t>
            </w:r>
          </w:p>
        </w:tc>
        <w:tc>
          <w:tcPr>
            <w:tcW w:type="dxa" w:w="4680"/>
          </w:tcPr>
          <w:p>
            <w:r/>
            <w:r>
              <w:t>APA 7th Edition</w:t>
            </w:r>
          </w:p>
        </w:tc>
      </w:tr>
      <w:tr>
        <w:tc>
          <w:tcPr>
            <w:tcW w:type="dxa" w:w="4680"/>
          </w:tcPr>
          <w:p>
            <w:r/>
            <w:r>
              <w:t>Organisation</w:t>
            </w:r>
          </w:p>
        </w:tc>
        <w:tc>
          <w:tcPr>
            <w:tcW w:type="dxa" w:w="4680"/>
          </w:tcPr>
          <w:p>
            <w:r/>
            <w:r>
              <w:t>Ocean Flux (oceanflux.ca)</w:t>
            </w:r>
          </w:p>
        </w:tc>
      </w:tr>
      <w:tr>
        <w:tc>
          <w:tcPr>
            <w:tcW w:type="dxa" w:w="4680"/>
          </w:tcPr>
          <w:p>
            <w:r/>
            <w:r>
              <w:t>Language</w:t>
            </w:r>
          </w:p>
        </w:tc>
        <w:tc>
          <w:tcPr>
            <w:tcW w:type="dxa" w:w="4680"/>
          </w:tcPr>
          <w:p>
            <w:r/>
            <w:r>
              <w:t>Canadian English (en-CA)</w:t>
            </w:r>
          </w:p>
        </w:tc>
      </w:tr>
    </w:tbl>
    <w:p>
      <w:pPr>
        <w:pStyle w:val="Heading2"/>
      </w:pPr>
      <w:r>
        <w:t>Disclaimer (read first)</w:t>
      </w:r>
    </w:p>
    <w:p>
      <w:r>
        <w:t xml:space="preserve">This document is a </w:t>
      </w:r>
      <w:r>
        <w:rPr>
          <w:b/>
        </w:rPr>
        <w:t>research methodology and literature-based mass-balance synthesis</w:t>
      </w:r>
      <w:r>
        <w:t xml:space="preserve"> prepared for Ocean Flux’s public science pages. It is </w:t>
      </w:r>
      <w:r>
        <w:rPr>
          <w:b/>
        </w:rPr>
        <w:t>not</w:t>
      </w:r>
      <w:r>
        <w:t xml:space="preserve"> a regulatory permit, environmental assessment, field-deployment plan, or commercial product specification.</w:t>
      </w:r>
    </w:p>
    <w:p>
      <w:pPr>
        <w:pStyle w:val="ListBullet"/>
      </w:pPr>
      <w:r>
        <w:t xml:space="preserve">Ocean Flux is a for-profit ecology- and restoration-first company. </w:t>
      </w:r>
      <w:r>
        <w:rPr>
          <w:b/>
        </w:rPr>
        <w:t>Carbon is not commercialised</w:t>
      </w:r>
      <w:r>
        <w:t xml:space="preserve"> until published measurement, reporting, and verification (MRV) standards are in place.</w:t>
      </w:r>
    </w:p>
    <w:p>
      <w:pPr>
        <w:pStyle w:val="ListBullet"/>
      </w:pPr>
      <w:r>
        <w:t xml:space="preserve">Any discussion of particulate ferrihydrite is a </w:t>
      </w:r>
      <w:r>
        <w:rPr>
          <w:b/>
        </w:rPr>
        <w:t>hypothetical restorative / research quantification</w:t>
      </w:r>
      <w:r>
        <w:t xml:space="preserve"> of elemental iron mass — </w:t>
      </w:r>
      <w:r>
        <w:rPr>
          <w:b/>
        </w:rPr>
        <w:t>not</w:t>
      </w:r>
      <w:r>
        <w:t xml:space="preserve"> a sellable ocean iron fertilisation (OIF) SKU, credit product, or commercial nutrient-release offering.</w:t>
      </w:r>
    </w:p>
    <w:p>
      <w:pPr>
        <w:pStyle w:val="ListBullet"/>
      </w:pPr>
      <w:r>
        <w:t xml:space="preserve">Field nutrient release, if ever undertaken, would be </w:t>
      </w:r>
      <w:r>
        <w:rPr>
          <w:b/>
        </w:rPr>
        <w:t>permitted research or restoration only</w:t>
      </w:r>
      <w:r>
        <w:t>, never commercial OIF.</w:t>
      </w:r>
    </w:p>
    <w:p>
      <w:pPr>
        <w:pStyle w:val="ListBullet"/>
      </w:pPr>
      <w:r>
        <w:t xml:space="preserve">Prefer framing around </w:t>
      </w:r>
      <w:r>
        <w:rPr>
          <w:b/>
        </w:rPr>
        <w:t>ambient dissolved iron, organic ligands, and biogenic recycling</w:t>
      </w:r>
      <w:r>
        <w:t>. Mineral analogues are shown only for stoichiometric comparison.</w:t>
      </w:r>
    </w:p>
    <w:p>
      <w:pPr>
        <w:pStyle w:val="ListBullet"/>
      </w:pPr>
      <w:r>
        <w:t xml:space="preserve">Numbers labelled </w:t>
      </w:r>
      <w:r>
        <w:rPr>
          <w:b/>
        </w:rPr>
        <w:t>derived estimate</w:t>
      </w:r>
      <w:r>
        <w:t xml:space="preserve"> are synthesised from published ranges; they are </w:t>
      </w:r>
      <w:r>
        <w:rPr>
          <w:b/>
        </w:rPr>
        <w:t>not</w:t>
      </w:r>
      <w:r>
        <w:t xml:space="preserve"> site-measured ETP fluxes.</w:t>
      </w:r>
    </w:p>
    <w:p>
      <w:pPr>
        <w:pStyle w:val="Heading1"/>
      </w:pPr>
      <w:r>
        <w:t>Methodological overview</w:t>
      </w:r>
    </w:p>
    <w:p>
      <w:r>
        <w:t xml:space="preserve">This document sets out a steady-state mass-balance framework for estimating how multi-trophic vertebrate biomass loss may reduce upper-ocean </w:t>
      </w:r>
      <w:r>
        <w:rPr>
          <w:b/>
        </w:rPr>
        <w:t>biological iron recycling</w:t>
      </w:r>
      <w:r>
        <w:t xml:space="preserve">, then converts molar deficit fluxes to areal and regional elemental iron masses. It also shows </w:t>
      </w:r>
      <w:r>
        <w:rPr>
          <w:b/>
        </w:rPr>
        <w:t>illustrative</w:t>
      </w:r>
      <w:r>
        <w:t xml:space="preserve"> stoichiometry comparing particulate 2-line ferrihydrite (nominal Fe₅HO₈·4H₂O) with ferrous sulfate heptahydrate (FeSO₄·7H₂O). All quantitative scenarios for the ETP are </w:t>
      </w:r>
      <w:r>
        <w:rPr>
          <w:b/>
        </w:rPr>
        <w:t>literature-based derived estimates</w:t>
      </w:r>
      <w:r>
        <w:t xml:space="preserve"> for research communication, not operational dosing recipes.</w:t>
      </w:r>
    </w:p>
    <w:p>
      <w:r>
        <w:t>Primary literature anchors: Christensen et al. (2014); Le Mézo et al. (2022); Moreno and Haffa (2014); Myers and Worm (2003); Tagliabue et al. (2017).</w:t>
      </w:r>
    </w:p>
    <w:p>
      <w:pPr>
        <w:pStyle w:val="Heading1"/>
      </w:pPr>
      <w:r>
        <w:t>1. Methodological framework: biometabolic iron-deficit modelling</w:t>
      </w:r>
    </w:p>
    <w:p>
      <w:pPr>
        <w:pStyle w:val="Heading2"/>
      </w:pPr>
      <w:r>
        <w:t>1.1 Governing equations</w:t>
      </w:r>
    </w:p>
    <w:p>
      <w:r>
        <w:t>Pre-industrial (or lightly exploited) baseline recycling flux \(F_{\mathrm{pre}}\) (µmol Fe m⁻² d⁻¹) from higher-trophic vertebrates in the epipelagic mixed layer:</w:t>
      </w:r>
    </w:p>
    <w:p>
      <w:r>
        <w:rPr>
          <w:b/>
        </w:rPr>
        <w:t>Equation 1.</w:t>
      </w:r>
      <w:r>
        <w:t xml:space="preserve">  </w:t>
      </w:r>
    </w:p>
    <w:p>
      <w:r>
        <w:rPr>
          <w:rFonts w:ascii="Consolas" w:hAnsi="Consolas"/>
          <w:i/>
        </w:rPr>
        <w:t>\[</w:t>
      </w:r>
    </w:p>
    <w:p>
      <w:r>
        <w:t>F_{\mathrm{pre}} = B_{\mathrm{pre}} \times E_{\mathrm{Fe}}</w:t>
      </w:r>
    </w:p>
    <w:p>
      <w:r>
        <w:rPr>
          <w:rFonts w:ascii="Consolas" w:hAnsi="Consolas"/>
          <w:i/>
        </w:rPr>
        <w:t>\]</w:t>
      </w:r>
    </w:p>
    <w:p>
      <w:pPr>
        <w:pStyle w:val="ListBullet"/>
      </w:pPr>
      <w:r>
        <w:t xml:space="preserve">\(B_{\mathrm{pre}}\): pristine higher-trophic-level biomass density (g wet weight m⁻²) — </w:t>
      </w:r>
      <w:r>
        <w:rPr>
          <w:b/>
        </w:rPr>
        <w:t>derived estimate</w:t>
      </w:r>
      <w:r>
        <w:t xml:space="preserve">  </w:t>
      </w:r>
    </w:p>
    <w:p>
      <w:pPr>
        <w:pStyle w:val="ListBullet"/>
      </w:pPr>
      <w:r>
        <w:t xml:space="preserve">\(E_{\mathrm{Fe}}\): mass-specific iron excretion rate (µmol Fe g⁻¹ wet weight d⁻¹) — </w:t>
      </w:r>
      <w:r>
        <w:rPr>
          <w:b/>
        </w:rPr>
        <w:t>derived / synthesised</w:t>
      </w:r>
    </w:p>
    <w:p>
      <w:r>
        <w:t>After cumulative harvest depletion fraction \(\delta\) (0 ≤ δ ≤ 1):</w:t>
      </w:r>
    </w:p>
    <w:p>
      <w:r>
        <w:rPr>
          <w:b/>
        </w:rPr>
        <w:t>Equation 2.</w:t>
      </w:r>
      <w:r>
        <w:t xml:space="preserve">  </w:t>
      </w:r>
    </w:p>
    <w:p>
      <w:r>
        <w:rPr>
          <w:rFonts w:ascii="Consolas" w:hAnsi="Consolas"/>
          <w:i/>
        </w:rPr>
        <w:t>\[</w:t>
      </w:r>
    </w:p>
    <w:p>
      <w:r>
        <w:t>F_{\mathrm{post}} = F_{\mathrm{pre}} \times (1 - \delta)</w:t>
      </w:r>
    </w:p>
    <w:p>
      <w:r>
        <w:rPr>
          <w:rFonts w:ascii="Consolas" w:hAnsi="Consolas"/>
          <w:i/>
        </w:rPr>
        <w:t>\]</w:t>
      </w:r>
    </w:p>
    <w:p>
      <w:r>
        <w:rPr>
          <w:b/>
        </w:rPr>
        <w:t>Equation 3.</w:t>
      </w:r>
      <w:r>
        <w:t xml:space="preserve">  </w:t>
      </w:r>
    </w:p>
    <w:p>
      <w:r>
        <w:rPr>
          <w:rFonts w:ascii="Consolas" w:hAnsi="Consolas"/>
          <w:i/>
        </w:rPr>
        <w:t>\[</w:t>
      </w:r>
    </w:p>
    <w:p>
      <w:r>
        <w:rPr>
          <w:rFonts w:ascii="Consolas" w:hAnsi="Consolas"/>
          <w:i/>
        </w:rPr>
        <w:t>\Delta F_{\mathrm{Fe}} = F_{\mathrm{pre}} - F_{\mathrm{post}} = F_{\mathrm{pre}} \times \delta</w:t>
      </w:r>
    </w:p>
    <w:p>
      <w:r>
        <w:rPr>
          <w:rFonts w:ascii="Consolas" w:hAnsi="Consolas"/>
          <w:i/>
        </w:rPr>
        <w:t>\]</w:t>
      </w:r>
    </w:p>
    <w:p>
      <w:pPr>
        <w:pStyle w:val="Heading2"/>
      </w:pPr>
      <w:r>
        <w:t>1.2 Unit conversion to mass flux density</w:t>
      </w:r>
    </w:p>
    <w:p>
      <w:r>
        <w:rPr>
          <w:rFonts w:ascii="Consolas" w:hAnsi="Consolas"/>
          <w:i/>
        </w:rPr>
        <w:t>Atomic weight of iron \(M_{\mathrm{Fe}} = 55.845\) g mol⁻¹ = \(55.845 \times 10^{-6}\) g µmol⁻¹:</w:t>
      </w:r>
    </w:p>
    <w:p>
      <w:r>
        <w:rPr>
          <w:b/>
        </w:rPr>
        <w:t>Equation 4.</w:t>
      </w:r>
      <w:r>
        <w:t xml:space="preserve">  </w:t>
      </w:r>
    </w:p>
    <w:p>
      <w:r>
        <w:rPr>
          <w:rFonts w:ascii="Consolas" w:hAnsi="Consolas"/>
          <w:i/>
        </w:rPr>
        <w:t>\[</w:t>
      </w:r>
    </w:p>
    <w:p>
      <w:r>
        <w:t>F_{\mathrm{mass}} = \Delta F_{\mathrm{Fe}} \times (55.845 \times 10^{-6}\ \mathrm{g\ Fe\ µmol^{-1}})</w:t>
      </w:r>
    </w:p>
    <w:p>
      <w:r>
        <w:rPr>
          <w:rFonts w:ascii="Consolas" w:hAnsi="Consolas"/>
          <w:i/>
        </w:rPr>
        <w:t>\]</w:t>
      </w:r>
    </w:p>
    <w:p>
      <w:pPr>
        <w:pStyle w:val="Heading2"/>
      </w:pPr>
      <w:r>
        <w:t>1.3 Spatial integration and annual scaling</w:t>
      </w:r>
    </w:p>
    <w:p>
      <w:r>
        <w:t>For domain area \(A\) (m²; 1 km² = 1.0 × 10⁶ m²):</w:t>
      </w:r>
    </w:p>
    <w:p>
      <w:r>
        <w:rPr>
          <w:b/>
        </w:rPr>
        <w:t>Equation 5.</w:t>
      </w:r>
      <w:r>
        <w:t xml:space="preserve">  </w:t>
      </w:r>
    </w:p>
    <w:p>
      <w:r>
        <w:rPr>
          <w:rFonts w:ascii="Consolas" w:hAnsi="Consolas"/>
          <w:i/>
        </w:rPr>
        <w:t>\[</w:t>
      </w:r>
    </w:p>
    <w:p>
      <w:r>
        <w:rPr>
          <w:rFonts w:ascii="Consolas" w:hAnsi="Consolas"/>
          <w:i/>
        </w:rPr>
        <w:t>M_{\mathrm{Fe,daily}} = A \times F_{\mathrm{mass}} \times 10^{-6}\ \mathrm{t\ g^{-1}}</w:t>
      </w:r>
    </w:p>
    <w:p>
      <w:r>
        <w:rPr>
          <w:rFonts w:ascii="Consolas" w:hAnsi="Consolas"/>
          <w:i/>
        </w:rPr>
        <w:t>\]</w:t>
      </w:r>
    </w:p>
    <w:p>
      <w:r>
        <w:rPr>
          <w:b/>
        </w:rPr>
        <w:t>Equation 6.</w:t>
      </w:r>
      <w:r>
        <w:t xml:space="preserve">  </w:t>
      </w:r>
    </w:p>
    <w:p>
      <w:r>
        <w:rPr>
          <w:rFonts w:ascii="Consolas" w:hAnsi="Consolas"/>
          <w:i/>
        </w:rPr>
        <w:t>\[</w:t>
      </w:r>
    </w:p>
    <w:p>
      <w:r>
        <w:rPr>
          <w:rFonts w:ascii="Consolas" w:hAnsi="Consolas"/>
          <w:i/>
        </w:rPr>
        <w:t>M_{\mathrm{Fe,annual}} = M_{\mathrm{Fe,daily}} \times 365.25\ \mathrm{d\ yr^{-1}}</w:t>
      </w:r>
    </w:p>
    <w:p>
      <w:r>
        <w:rPr>
          <w:rFonts w:ascii="Consolas" w:hAnsi="Consolas"/>
          <w:i/>
        </w:rPr>
        <w:t>\]</w:t>
      </w:r>
    </w:p>
    <w:p>
      <w:pPr>
        <w:pStyle w:val="Heading1"/>
      </w:pPr>
      <w:r>
        <w:t>2. Empirical parameter sourcing and literature baselines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rPr>
                <w:b/>
              </w:rPr>
            </w:r>
            <w:r>
              <w:rPr>
                <w:b/>
              </w:rPr>
              <w:t>Parameter</w:t>
            </w:r>
          </w:p>
        </w:tc>
        <w:tc>
          <w:tcPr>
            <w:tcW w:type="dxa" w:w="3120"/>
          </w:tcPr>
          <w:p>
            <w:r>
              <w:rPr>
                <w:b/>
              </w:rPr>
            </w:r>
            <w:r>
              <w:rPr>
                <w:b/>
              </w:rPr>
              <w:t>Literature-informed range</w:t>
            </w:r>
          </w:p>
        </w:tc>
        <w:tc>
          <w:tcPr>
            <w:tcW w:type="dxa" w:w="3120"/>
          </w:tcPr>
          <w:p>
            <w:r>
              <w:rPr>
                <w:b/>
              </w:rPr>
            </w:r>
            <w:r>
              <w:rPr>
                <w:b/>
              </w:rPr>
              <w:t>Notes / status</w:t>
            </w:r>
          </w:p>
        </w:tc>
      </w:tr>
      <w:tr>
        <w:tc>
          <w:tcPr>
            <w:tcW w:type="dxa" w:w="3120"/>
          </w:tcPr>
          <w:p>
            <w:r/>
            <w:r>
              <w:t>\(B_{\mathrm{pre}}\)</w:t>
            </w:r>
          </w:p>
        </w:tc>
        <w:tc>
          <w:tcPr>
            <w:tcW w:type="dxa" w:w="3120"/>
          </w:tcPr>
          <w:p>
            <w:r/>
            <w:r>
              <w:t>~10–40 g wet weight m⁻² (productive tropical / upwelling systems)</w:t>
            </w:r>
          </w:p>
        </w:tc>
        <w:tc>
          <w:tcPr>
            <w:tcW w:type="dxa" w:w="3120"/>
          </w:tcPr>
          <w:p>
            <w:r/>
            <w:r>
              <w:rPr>
                <w:b/>
              </w:rPr>
              <w:t>Derived estimate.</w:t>
            </w:r>
            <w:r>
              <w:t xml:space="preserve"> Decline context from Christensen et al. (2014) and Tremblay-Boyer et al. (2011); areal densities are synthesised, not ETP surveys.</w:t>
            </w:r>
          </w:p>
        </w:tc>
      </w:tr>
      <w:tr>
        <w:tc>
          <w:tcPr>
            <w:tcW w:type="dxa" w:w="3120"/>
          </w:tcPr>
          <w:p>
            <w:r/>
            <w:r>
              <w:t>\(E_{\mathrm{Fe}}\)</w:t>
            </w:r>
          </w:p>
        </w:tc>
        <w:tc>
          <w:tcPr>
            <w:tcW w:type="dxa" w:w="3120"/>
          </w:tcPr>
          <w:p>
            <w:r/>
            <w:r>
              <w:t>Order 0.01–0.05 µmol Fe g⁻¹ d⁻¹ (community-mixed)</w:t>
            </w:r>
          </w:p>
        </w:tc>
        <w:tc>
          <w:tcPr>
            <w:tcW w:type="dxa" w:w="3120"/>
          </w:tcPr>
          <w:p>
            <w:r/>
            <w:r>
              <w:rPr>
                <w:b/>
              </w:rPr>
              <w:t>Synthesised.</w:t>
            </w:r>
            <w:r>
              <w:t xml:space="preserve"> Moreno and Haffa (2014) report </w:t>
            </w:r>
            <w:r>
              <w:rPr>
                <w:b/>
              </w:rPr>
              <w:t>global</w:t>
            </w:r>
            <w:r>
              <w:t xml:space="preserve"> fish Fe excretion 0.4–1.5 × 10¹² g yr⁻¹, not this mass-specific rate directly.</w:t>
            </w:r>
          </w:p>
        </w:tc>
      </w:tr>
      <w:tr>
        <w:tc>
          <w:tcPr>
            <w:tcW w:type="dxa" w:w="3120"/>
          </w:tcPr>
          <w:p>
            <w:r/>
            <w:r>
              <w:t>Global-mean areal fish excretion (cross-check)</w:t>
            </w:r>
          </w:p>
        </w:tc>
        <w:tc>
          <w:tcPr>
            <w:tcW w:type="dxa" w:w="3120"/>
          </w:tcPr>
          <w:p>
            <w:r/>
            <w:r>
              <w:t>~</w:t>
            </w:r>
            <w:r>
              <w:rPr>
                <w:b/>
              </w:rPr>
              <w:t>0.15–0.6 µmol Fe m⁻² d⁻¹</w:t>
            </w:r>
          </w:p>
        </w:tc>
        <w:tc>
          <w:tcPr>
            <w:tcW w:type="dxa" w:w="3120"/>
          </w:tcPr>
          <w:p>
            <w:r/>
            <w:r>
              <w:t xml:space="preserve">Scaling Moreno global excretion over ~3.6 × 10¹⁴ m² ocean area. Upper ETP scenarios above this band are </w:t>
            </w:r>
            <w:r>
              <w:rPr>
                <w:b/>
              </w:rPr>
              <w:t>regional high-biomass extrapolations</w:t>
            </w:r>
            <w:r>
              <w:t>.</w:t>
            </w:r>
          </w:p>
        </w:tc>
      </w:tr>
      <w:tr>
        <w:tc>
          <w:tcPr>
            <w:tcW w:type="dxa" w:w="3120"/>
          </w:tcPr>
          <w:p>
            <w:r/>
            <w:r>
              <w:t>Illustrative \(F_{\mathrm{pre}}\) for productive ETP boxes</w:t>
            </w:r>
          </w:p>
        </w:tc>
        <w:tc>
          <w:tcPr>
            <w:tcW w:type="dxa" w:w="3120"/>
          </w:tcPr>
          <w:p>
            <w:r/>
            <w:r>
              <w:rPr>
                <w:b/>
              </w:rPr>
              <w:t>0.20–1.0</w:t>
            </w:r>
            <w:r>
              <w:t xml:space="preserve"> µmol Fe m⁻² d⁻¹ (central ~0.5–0.7)</w:t>
            </w:r>
          </w:p>
        </w:tc>
        <w:tc>
          <w:tcPr>
            <w:tcW w:type="dxa" w:w="3120"/>
          </w:tcPr>
          <w:p>
            <w:r/>
            <w:r>
              <w:rPr>
                <w:b/>
              </w:rPr>
              <w:t>Derived estimate.</w:t>
            </w:r>
            <w:r>
              <w:t xml:space="preserve"> Cap previously published upper bound of 1.50 as weakly supported; treat ≥1.0 as high-end sensitivity only.</w:t>
            </w:r>
          </w:p>
        </w:tc>
      </w:tr>
      <w:tr>
        <w:tc>
          <w:tcPr>
            <w:tcW w:type="dxa" w:w="3120"/>
          </w:tcPr>
          <w:p>
            <w:r/>
            <w:r>
              <w:t>\(\delta\)</w:t>
            </w:r>
          </w:p>
        </w:tc>
        <w:tc>
          <w:tcPr>
            <w:tcW w:type="dxa" w:w="3120"/>
          </w:tcPr>
          <w:p>
            <w:r/>
            <w:r>
              <w:t>~0.50–0.75 (predatory guilds); sensitivity to 0.85</w:t>
            </w:r>
          </w:p>
        </w:tc>
        <w:tc>
          <w:tcPr>
            <w:tcW w:type="dxa" w:w="3120"/>
          </w:tcPr>
          <w:p>
            <w:r/>
            <w:r>
              <w:t>Christensen et al. (2014): roughly two-thirds predatory biomass decline. Myers and Worm (2003) reported larger declines in some stocks and remain debated. Pauly and Zeller (2016) support catch under-reporting, not δ directly.</w:t>
            </w:r>
          </w:p>
        </w:tc>
      </w:tr>
      <w:tr>
        <w:tc>
          <w:tcPr>
            <w:tcW w:type="dxa" w:w="3120"/>
          </w:tcPr>
          <w:p>
            <w:r/>
            <w:r>
              <w:t>Illustrative \(\Delta F_{\mathrm{Fe}}\)</w:t>
            </w:r>
          </w:p>
        </w:tc>
        <w:tc>
          <w:tcPr>
            <w:tcW w:type="dxa" w:w="3120"/>
          </w:tcPr>
          <w:p>
            <w:r/>
            <w:r>
              <w:rPr>
                <w:b/>
              </w:rPr>
              <w:t>0.15–0.75</w:t>
            </w:r>
            <w:r>
              <w:t xml:space="preserve"> µmol Fe m⁻² d⁻¹; moderate scenario </w:t>
            </w:r>
            <w:r>
              <w:rPr>
                <w:b/>
              </w:rPr>
              <w:t>0.40</w:t>
            </w:r>
          </w:p>
        </w:tc>
        <w:tc>
          <w:tcPr>
            <w:tcW w:type="dxa" w:w="3120"/>
          </w:tcPr>
          <w:p>
            <w:r/>
            <w:r>
              <w:rPr>
                <w:b/>
              </w:rPr>
              <w:t>Derived estimate</w:t>
            </w:r>
            <w:r>
              <w:t xml:space="preserve"> for mass-balance illustration only.</w:t>
            </w:r>
          </w:p>
        </w:tc>
      </w:tr>
    </w:tbl>
    <w:p>
      <w:pPr>
        <w:pStyle w:val="Heading2"/>
      </w:pPr>
      <w:r>
        <w:t>2.1 Verified conversion table (arithmetic checked)</w:t>
      </w:r>
    </w:p>
    <w:p>
      <w:r>
        <w:rPr>
          <w:rFonts w:ascii="Consolas" w:hAnsi="Consolas"/>
          <w:i/>
        </w:rPr>
        <w:t>Using \(M_{\mathrm{Fe}} = 55.845\) g mol⁻¹ and 365.25 d yr⁻¹: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Flux tier</w:t>
            </w:r>
          </w:p>
        </w:tc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Molar flux (µmol m⁻² d⁻¹)</w:t>
            </w:r>
          </w:p>
        </w:tc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Areal mass (g m⁻² d⁻¹)</w:t>
            </w:r>
          </w:p>
        </w:tc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Annual rate (mg m⁻² yr⁻¹)</w:t>
            </w:r>
          </w:p>
        </w:tc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Label</w:t>
            </w:r>
          </w:p>
        </w:tc>
      </w:tr>
      <w:tr>
        <w:tc>
          <w:tcPr>
            <w:tcW w:type="dxa" w:w="1872"/>
          </w:tcPr>
          <w:p>
            <w:r/>
            <w:r>
              <w:t>Pristine baseline \(F_{\mathrm{pre}}\)</w:t>
            </w:r>
          </w:p>
        </w:tc>
        <w:tc>
          <w:tcPr>
            <w:tcW w:type="dxa" w:w="1872"/>
          </w:tcPr>
          <w:p>
            <w:r/>
            <w:r>
              <w:t>0.20 – 1.00</w:t>
            </w:r>
          </w:p>
        </w:tc>
        <w:tc>
          <w:tcPr>
            <w:tcW w:type="dxa" w:w="1872"/>
          </w:tcPr>
          <w:p>
            <w:r/>
            <w:r>
              <w:t>1.12×10⁻⁵ – 5.58×10⁻⁵</w:t>
            </w:r>
          </w:p>
        </w:tc>
        <w:tc>
          <w:tcPr>
            <w:tcW w:type="dxa" w:w="1872"/>
          </w:tcPr>
          <w:p>
            <w:r/>
            <w:r>
              <w:t>4.08 – 20.4</w:t>
            </w:r>
          </w:p>
        </w:tc>
        <w:tc>
          <w:tcPr>
            <w:tcW w:type="dxa" w:w="1872"/>
          </w:tcPr>
          <w:p>
            <w:r/>
            <w:r>
              <w:t>Derived / literature-informed</w:t>
            </w:r>
          </w:p>
        </w:tc>
      </w:tr>
      <w:tr>
        <w:tc>
          <w:tcPr>
            <w:tcW w:type="dxa" w:w="1872"/>
          </w:tcPr>
          <w:p>
            <w:r/>
            <w:r>
              <w:t>Modern residual \(F_{\mathrm{post}}\) (illustrative)</w:t>
            </w:r>
          </w:p>
        </w:tc>
        <w:tc>
          <w:tcPr>
            <w:tcW w:type="dxa" w:w="1872"/>
          </w:tcPr>
          <w:p>
            <w:r/>
            <w:r>
              <w:t>0.05 – 0.40</w:t>
            </w:r>
          </w:p>
        </w:tc>
        <w:tc>
          <w:tcPr>
            <w:tcW w:type="dxa" w:w="1872"/>
          </w:tcPr>
          <w:p>
            <w:r/>
            <w:r>
              <w:t>2.79×10⁻⁶ – 2.23×10⁻⁵</w:t>
            </w:r>
          </w:p>
        </w:tc>
        <w:tc>
          <w:tcPr>
            <w:tcW w:type="dxa" w:w="1872"/>
          </w:tcPr>
          <w:p>
            <w:r/>
            <w:r>
              <w:t>1.02 – 8.16</w:t>
            </w:r>
          </w:p>
        </w:tc>
        <w:tc>
          <w:tcPr>
            <w:tcW w:type="dxa" w:w="1872"/>
          </w:tcPr>
          <w:p>
            <w:r/>
            <w:r>
              <w:t>Derived via δ</w:t>
            </w:r>
          </w:p>
        </w:tc>
      </w:tr>
      <w:tr>
        <w:tc>
          <w:tcPr>
            <w:tcW w:type="dxa" w:w="1872"/>
          </w:tcPr>
          <w:p>
            <w:r/>
            <w:r>
              <w:t>Net deficit \(\Delta F_{\mathrm{Fe}}\)</w:t>
            </w:r>
          </w:p>
        </w:tc>
        <w:tc>
          <w:tcPr>
            <w:tcW w:type="dxa" w:w="1872"/>
          </w:tcPr>
          <w:p>
            <w:r/>
            <w:r>
              <w:t>0.15 – 0.75</w:t>
            </w:r>
          </w:p>
        </w:tc>
        <w:tc>
          <w:tcPr>
            <w:tcW w:type="dxa" w:w="1872"/>
          </w:tcPr>
          <w:p>
            <w:r/>
            <w:r>
              <w:t>8.38×10⁻⁶ – 4.19×10⁻⁵</w:t>
            </w:r>
          </w:p>
        </w:tc>
        <w:tc>
          <w:tcPr>
            <w:tcW w:type="dxa" w:w="1872"/>
          </w:tcPr>
          <w:p>
            <w:r/>
            <w:r>
              <w:t>3.06 – 15.3</w:t>
            </w:r>
          </w:p>
        </w:tc>
        <w:tc>
          <w:tcPr>
            <w:tcW w:type="dxa" w:w="1872"/>
          </w:tcPr>
          <w:p>
            <w:r/>
            <w:r>
              <w:t>Derived (Eqs 1–4)</w:t>
            </w:r>
          </w:p>
        </w:tc>
      </w:tr>
      <w:tr>
        <w:tc>
          <w:tcPr>
            <w:tcW w:type="dxa" w:w="1872"/>
          </w:tcPr>
          <w:p>
            <w:r/>
            <w:r>
              <w:t>Moderate scenario</w:t>
            </w:r>
          </w:p>
        </w:tc>
        <w:tc>
          <w:tcPr>
            <w:tcW w:type="dxa" w:w="1872"/>
          </w:tcPr>
          <w:p>
            <w:r/>
            <w:r>
              <w:rPr>
                <w:b/>
              </w:rPr>
              <w:t>0.40</w:t>
            </w:r>
          </w:p>
        </w:tc>
        <w:tc>
          <w:tcPr>
            <w:tcW w:type="dxa" w:w="1872"/>
          </w:tcPr>
          <w:p>
            <w:r/>
            <w:r>
              <w:rPr>
                <w:b/>
              </w:rPr>
              <w:t>2.234×10⁻⁵</w:t>
            </w:r>
          </w:p>
        </w:tc>
        <w:tc>
          <w:tcPr>
            <w:tcW w:type="dxa" w:w="1872"/>
          </w:tcPr>
          <w:p>
            <w:r/>
            <w:r>
              <w:rPr>
                <w:b/>
              </w:rPr>
              <w:t>8.16</w:t>
            </w:r>
          </w:p>
        </w:tc>
        <w:tc>
          <w:tcPr>
            <w:tcW w:type="dxa" w:w="1872"/>
          </w:tcPr>
          <w:p>
            <w:r/>
            <w:r>
              <w:t>Illustrative target</w:t>
            </w:r>
          </w:p>
        </w:tc>
      </w:tr>
    </w:tbl>
    <w:p>
      <w:r>
        <w:rPr>
          <w:i/>
        </w:rPr>
        <w:t>(Former high-density 1.00 µmol m⁻² d⁻¹ deficit retained only in sensitivity table below; not a preferred “standard” target.)</w:t>
      </w:r>
    </w:p>
    <w:p>
      <w:pPr>
        <w:pStyle w:val="Heading1"/>
      </w:pPr>
      <w:r>
        <w:t>3. Eastern Tropical Pacific scaling (illustrative domains)</w:t>
      </w:r>
    </w:p>
    <w:p>
      <w:r>
        <w:t xml:space="preserve">The ETP south of Mexico and west of Central America includes the Costa Rica Dome and Tehuantepec eddy corridor (Fiedler &amp; Talley, 2006; Pennington et al., 2006). Domain areas below are </w:t>
      </w:r>
      <w:r>
        <w:rPr>
          <w:b/>
        </w:rPr>
        <w:t>author-defined analysis boxes</w:t>
      </w:r>
      <w:r>
        <w:t>, not regulatory project boundaries:</w:t>
      </w:r>
    </w:p>
    <w:p>
      <w:pPr>
        <w:pStyle w:val="ListBullet"/>
      </w:pPr>
      <w:r>
        <w:t xml:space="preserve">Focal mesoscale domain: \(A_1 = 300{,}000\) km² = \(3.0 \times 10^{11}\) m²  </w:t>
      </w:r>
    </w:p>
    <w:p>
      <w:pPr>
        <w:pStyle w:val="ListBullet"/>
      </w:pPr>
      <w:r>
        <w:t xml:space="preserve">Expanded corridor: \(A_2 = 500{,}000\) km² = \(5.0 \times 10^{11}\) m²  </w:t>
      </w:r>
    </w:p>
    <w:p>
      <w:pPr>
        <w:pStyle w:val="Heading2"/>
      </w:pPr>
      <w:r>
        <w:t>3.1 Worked example — moderate scenario, focal domain</w:t>
      </w:r>
    </w:p>
    <w:p>
      <w:r>
        <w:rPr>
          <w:rFonts w:ascii="Consolas" w:hAnsi="Consolas"/>
          <w:i/>
        </w:rPr>
        <w:t>**Given:** \(\Delta F_{\mathrm{Fe}} = 0.40\) µmol Fe m⁻² d⁻¹; \(A = 3.0 \times 10^{11}\) m².</w:t>
      </w:r>
    </w:p>
    <w:p>
      <w:pPr>
        <w:pStyle w:val="ListNumber"/>
      </w:pPr>
      <w:r>
        <w:t xml:space="preserve">\(F_{\mathrm{mass}} = 0.40 \times (55.845 \times 10^{-6}) = 2.2338 \times 10^{-5}\) g Fe m⁻² d⁻¹  </w:t>
      </w:r>
    </w:p>
    <w:p>
      <w:pPr>
        <w:pStyle w:val="ListNumber"/>
      </w:pPr>
      <w:r>
        <w:t xml:space="preserve">\(M_{\mathrm{Fe,daily}} = 3.0 \times 10^{11} \times 2.2338 \times 10^{-5} \times 10^{-6} = 6.7014\) t Fe d⁻¹ ≈ </w:t>
      </w:r>
      <w:r>
        <w:rPr>
          <w:b/>
        </w:rPr>
        <w:t>6.70 t d⁻¹</w:t>
      </w:r>
      <w:r>
        <w:t xml:space="preserve">  </w:t>
      </w:r>
    </w:p>
    <w:p>
      <w:pPr>
        <w:pStyle w:val="ListNumber"/>
      </w:pPr>
      <w:r>
        <w:t xml:space="preserve">\(M_{\mathrm{Fe,annual}} = 6.7014 \times 365.25 = 2{,}447.7\) t Fe yr⁻¹ ≈ </w:t>
      </w:r>
      <w:r>
        <w:rPr>
          <w:b/>
        </w:rPr>
        <w:t>2,448 t yr⁻¹</w:t>
      </w:r>
    </w:p>
    <w:p>
      <w:pPr>
        <w:pStyle w:val="Heading2"/>
      </w:pPr>
      <w:r>
        <w:t>3.2 Regional scaling matrix (arithmetic verified)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Domain</w:t>
            </w:r>
          </w:p>
        </w:tc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Scenario</w:t>
            </w:r>
          </w:p>
        </w:tc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Deficit (µmol m⁻² d⁻¹)</w:t>
            </w:r>
          </w:p>
        </w:tc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Daily Fe (t d⁻¹)</w:t>
            </w:r>
          </w:p>
        </w:tc>
        <w:tc>
          <w:tcPr>
            <w:tcW w:type="dxa" w:w="1872"/>
          </w:tcPr>
          <w:p>
            <w:r>
              <w:rPr>
                <w:b/>
              </w:rPr>
            </w:r>
            <w:r>
              <w:rPr>
                <w:b/>
              </w:rPr>
              <w:t>Annual Fe (t yr⁻¹)</w:t>
            </w:r>
          </w:p>
        </w:tc>
      </w:tr>
      <w:tr>
        <w:tc>
          <w:tcPr>
            <w:tcW w:type="dxa" w:w="1872"/>
          </w:tcPr>
          <w:p>
            <w:r/>
            <w:r>
              <w:t>Focal 300,000 km²</w:t>
            </w:r>
          </w:p>
        </w:tc>
        <w:tc>
          <w:tcPr>
            <w:tcW w:type="dxa" w:w="1872"/>
          </w:tcPr>
          <w:p>
            <w:r/>
            <w:r>
              <w:t>Conservative</w:t>
            </w:r>
          </w:p>
        </w:tc>
        <w:tc>
          <w:tcPr>
            <w:tcW w:type="dxa" w:w="1872"/>
          </w:tcPr>
          <w:p>
            <w:r/>
            <w:r>
              <w:t>0.15</w:t>
            </w:r>
          </w:p>
        </w:tc>
        <w:tc>
          <w:tcPr>
            <w:tcW w:type="dxa" w:w="1872"/>
          </w:tcPr>
          <w:p>
            <w:r/>
            <w:r>
              <w:t>2.51</w:t>
            </w:r>
          </w:p>
        </w:tc>
        <w:tc>
          <w:tcPr>
            <w:tcW w:type="dxa" w:w="1872"/>
          </w:tcPr>
          <w:p>
            <w:r/>
            <w:r>
              <w:t>918</w:t>
            </w:r>
          </w:p>
        </w:tc>
      </w:tr>
      <w:tr>
        <w:tc>
          <w:tcPr>
            <w:tcW w:type="dxa" w:w="1872"/>
          </w:tcPr>
          <w:p>
            <w:r/>
            <w:r>
              <w:t>Focal 300,000 km²</w:t>
            </w:r>
          </w:p>
        </w:tc>
        <w:tc>
          <w:tcPr>
            <w:tcW w:type="dxa" w:w="1872"/>
          </w:tcPr>
          <w:p>
            <w:r/>
            <w:r>
              <w:t>Moderate</w:t>
            </w:r>
          </w:p>
        </w:tc>
        <w:tc>
          <w:tcPr>
            <w:tcW w:type="dxa" w:w="1872"/>
          </w:tcPr>
          <w:p>
            <w:r/>
            <w:r>
              <w:t>0.40</w:t>
            </w:r>
          </w:p>
        </w:tc>
        <w:tc>
          <w:tcPr>
            <w:tcW w:type="dxa" w:w="1872"/>
          </w:tcPr>
          <w:p>
            <w:r/>
            <w:r>
              <w:t>6.70</w:t>
            </w:r>
          </w:p>
        </w:tc>
        <w:tc>
          <w:tcPr>
            <w:tcW w:type="dxa" w:w="1872"/>
          </w:tcPr>
          <w:p>
            <w:r/>
            <w:r>
              <w:t>2,448</w:t>
            </w:r>
          </w:p>
        </w:tc>
      </w:tr>
      <w:tr>
        <w:tc>
          <w:tcPr>
            <w:tcW w:type="dxa" w:w="1872"/>
          </w:tcPr>
          <w:p>
            <w:r/>
            <w:r>
              <w:t>Focal 300,000 km²</w:t>
            </w:r>
          </w:p>
        </w:tc>
        <w:tc>
          <w:tcPr>
            <w:tcW w:type="dxa" w:w="1872"/>
          </w:tcPr>
          <w:p>
            <w:r/>
            <w:r>
              <w:t>High-end sensitivity</w:t>
            </w:r>
          </w:p>
        </w:tc>
        <w:tc>
          <w:tcPr>
            <w:tcW w:type="dxa" w:w="1872"/>
          </w:tcPr>
          <w:p>
            <w:r/>
            <w:r>
              <w:t>0.75</w:t>
            </w:r>
          </w:p>
        </w:tc>
        <w:tc>
          <w:tcPr>
            <w:tcW w:type="dxa" w:w="1872"/>
          </w:tcPr>
          <w:p>
            <w:r/>
            <w:r>
              <w:t>12.56</w:t>
            </w:r>
          </w:p>
        </w:tc>
        <w:tc>
          <w:tcPr>
            <w:tcW w:type="dxa" w:w="1872"/>
          </w:tcPr>
          <w:p>
            <w:r/>
            <w:r>
              <w:t>4,589</w:t>
            </w:r>
          </w:p>
        </w:tc>
      </w:tr>
      <w:tr>
        <w:tc>
          <w:tcPr>
            <w:tcW w:type="dxa" w:w="1872"/>
          </w:tcPr>
          <w:p>
            <w:r/>
            <w:r>
              <w:t>Focal 300,000 km²</w:t>
            </w:r>
          </w:p>
        </w:tc>
        <w:tc>
          <w:tcPr>
            <w:tcW w:type="dxa" w:w="1872"/>
          </w:tcPr>
          <w:p>
            <w:r/>
            <w:r>
              <w:t>Extreme sensitivity*</w:t>
            </w:r>
          </w:p>
        </w:tc>
        <w:tc>
          <w:tcPr>
            <w:tcW w:type="dxa" w:w="1872"/>
          </w:tcPr>
          <w:p>
            <w:r/>
            <w:r>
              <w:t>1.00</w:t>
            </w:r>
          </w:p>
        </w:tc>
        <w:tc>
          <w:tcPr>
            <w:tcW w:type="dxa" w:w="1872"/>
          </w:tcPr>
          <w:p>
            <w:r/>
            <w:r>
              <w:t>16.75</w:t>
            </w:r>
          </w:p>
        </w:tc>
        <w:tc>
          <w:tcPr>
            <w:tcW w:type="dxa" w:w="1872"/>
          </w:tcPr>
          <w:p>
            <w:r/>
            <w:r>
              <w:t>6,119</w:t>
            </w:r>
          </w:p>
        </w:tc>
      </w:tr>
      <w:tr>
        <w:tc>
          <w:tcPr>
            <w:tcW w:type="dxa" w:w="1872"/>
          </w:tcPr>
          <w:p>
            <w:r/>
            <w:r>
              <w:t>Expanded 500,000 km²</w:t>
            </w:r>
          </w:p>
        </w:tc>
        <w:tc>
          <w:tcPr>
            <w:tcW w:type="dxa" w:w="1872"/>
          </w:tcPr>
          <w:p>
            <w:r/>
            <w:r>
              <w:t>Conservative</w:t>
            </w:r>
          </w:p>
        </w:tc>
        <w:tc>
          <w:tcPr>
            <w:tcW w:type="dxa" w:w="1872"/>
          </w:tcPr>
          <w:p>
            <w:r/>
            <w:r>
              <w:t>0.15</w:t>
            </w:r>
          </w:p>
        </w:tc>
        <w:tc>
          <w:tcPr>
            <w:tcW w:type="dxa" w:w="1872"/>
          </w:tcPr>
          <w:p>
            <w:r/>
            <w:r>
              <w:t>4.19</w:t>
            </w:r>
          </w:p>
        </w:tc>
        <w:tc>
          <w:tcPr>
            <w:tcW w:type="dxa" w:w="1872"/>
          </w:tcPr>
          <w:p>
            <w:r/>
            <w:r>
              <w:t>1,530</w:t>
            </w:r>
          </w:p>
        </w:tc>
      </w:tr>
      <w:tr>
        <w:tc>
          <w:tcPr>
            <w:tcW w:type="dxa" w:w="1872"/>
          </w:tcPr>
          <w:p>
            <w:r/>
            <w:r>
              <w:t>Expanded 500,000 km²</w:t>
            </w:r>
          </w:p>
        </w:tc>
        <w:tc>
          <w:tcPr>
            <w:tcW w:type="dxa" w:w="1872"/>
          </w:tcPr>
          <w:p>
            <w:r/>
            <w:r>
              <w:t>Moderate</w:t>
            </w:r>
          </w:p>
        </w:tc>
        <w:tc>
          <w:tcPr>
            <w:tcW w:type="dxa" w:w="1872"/>
          </w:tcPr>
          <w:p>
            <w:r/>
            <w:r>
              <w:t>0.40</w:t>
            </w:r>
          </w:p>
        </w:tc>
        <w:tc>
          <w:tcPr>
            <w:tcW w:type="dxa" w:w="1872"/>
          </w:tcPr>
          <w:p>
            <w:r/>
            <w:r>
              <w:t>11.17</w:t>
            </w:r>
          </w:p>
        </w:tc>
        <w:tc>
          <w:tcPr>
            <w:tcW w:type="dxa" w:w="1872"/>
          </w:tcPr>
          <w:p>
            <w:r/>
            <w:r>
              <w:t>4,079</w:t>
            </w:r>
          </w:p>
        </w:tc>
      </w:tr>
      <w:tr>
        <w:tc>
          <w:tcPr>
            <w:tcW w:type="dxa" w:w="1872"/>
          </w:tcPr>
          <w:p>
            <w:r/>
            <w:r>
              <w:t>Expanded 500,000 km²</w:t>
            </w:r>
          </w:p>
        </w:tc>
        <w:tc>
          <w:tcPr>
            <w:tcW w:type="dxa" w:w="1872"/>
          </w:tcPr>
          <w:p>
            <w:r/>
            <w:r>
              <w:t>High-end sensitivity</w:t>
            </w:r>
          </w:p>
        </w:tc>
        <w:tc>
          <w:tcPr>
            <w:tcW w:type="dxa" w:w="1872"/>
          </w:tcPr>
          <w:p>
            <w:r/>
            <w:r>
              <w:t>0.75</w:t>
            </w:r>
          </w:p>
        </w:tc>
        <w:tc>
          <w:tcPr>
            <w:tcW w:type="dxa" w:w="1872"/>
          </w:tcPr>
          <w:p>
            <w:r/>
            <w:r>
              <w:t>20.94</w:t>
            </w:r>
          </w:p>
        </w:tc>
        <w:tc>
          <w:tcPr>
            <w:tcW w:type="dxa" w:w="1872"/>
          </w:tcPr>
          <w:p>
            <w:r/>
            <w:r>
              <w:t>7,649</w:t>
            </w:r>
          </w:p>
        </w:tc>
      </w:tr>
      <w:tr>
        <w:tc>
          <w:tcPr>
            <w:tcW w:type="dxa" w:w="1872"/>
          </w:tcPr>
          <w:p>
            <w:r/>
            <w:r>
              <w:t>Expanded 500,000 km²</w:t>
            </w:r>
          </w:p>
        </w:tc>
        <w:tc>
          <w:tcPr>
            <w:tcW w:type="dxa" w:w="1872"/>
          </w:tcPr>
          <w:p>
            <w:r/>
            <w:r>
              <w:t>Extreme sensitivity*</w:t>
            </w:r>
          </w:p>
        </w:tc>
        <w:tc>
          <w:tcPr>
            <w:tcW w:type="dxa" w:w="1872"/>
          </w:tcPr>
          <w:p>
            <w:r/>
            <w:r>
              <w:t>1.00</w:t>
            </w:r>
          </w:p>
        </w:tc>
        <w:tc>
          <w:tcPr>
            <w:tcW w:type="dxa" w:w="1872"/>
          </w:tcPr>
          <w:p>
            <w:r/>
            <w:r>
              <w:t>27.92</w:t>
            </w:r>
          </w:p>
        </w:tc>
        <w:tc>
          <w:tcPr>
            <w:tcW w:type="dxa" w:w="1872"/>
          </w:tcPr>
          <w:p>
            <w:r/>
            <w:r>
              <w:t>10,199</w:t>
            </w:r>
          </w:p>
        </w:tc>
      </w:tr>
    </w:tbl>
    <w:p>
      <w:r>
        <w:t>\</w:t>
      </w:r>
      <w:r>
        <w:rPr>
          <w:i/>
        </w:rPr>
        <w:t xml:space="preserve">Extreme 1.00 µmol m⁻² d⁻¹ rows are </w:t>
      </w:r>
      <w:r>
        <w:rPr>
          <w:i/>
        </w:rPr>
        <w:t>sensitivity only</w:t>
      </w:r>
      <w:r>
        <w:t>*; global fish-excretion scaling does not independently justify this as a mean ETP deficit.</w:t>
      </w:r>
    </w:p>
    <w:p>
      <w:pPr>
        <w:pStyle w:val="Heading1"/>
      </w:pPr>
      <w:r>
        <w:t>4. Mineralogical stoichiometry (illustrative comparison only)</w:t>
      </w:r>
    </w:p>
    <w:p>
      <w:r>
        <w:t xml:space="preserve">Acidified ferrous sulfate solutions have been used in historical mesoscale iron-enrichment experiments; some experiments documented </w:t>
      </w:r>
      <w:r>
        <w:rPr>
          <w:i/>
        </w:rPr>
        <w:t>Pseudo-nitzschia</w:t>
      </w:r>
      <w:r>
        <w:t xml:space="preserve"> responses (Silver et al., 2010; Trick et al., 2010). Ocean Flux does </w:t>
      </w:r>
      <w:r>
        <w:rPr>
          <w:b/>
        </w:rPr>
        <w:t>not</w:t>
      </w:r>
      <w:r>
        <w:t xml:space="preserve"> present acidified FeSO₄ as a commercial product. Particulate ferrihydrite is discussed only as a </w:t>
      </w:r>
      <w:r>
        <w:rPr>
          <w:b/>
        </w:rPr>
        <w:t>stoichiometric analogue</w:t>
      </w:r>
      <w:r>
        <w:t xml:space="preserve"> of biogenic Fe oxyhydroxide cores (ferritin-related mineralogy; Michel et al., 2007, 2010) for mass accounting.</w:t>
      </w:r>
    </w:p>
    <w:p>
      <w:pPr>
        <w:pStyle w:val="Heading2"/>
      </w:pPr>
      <w:r>
        <w:t>4.1 Stoichiometry</w:t>
      </w:r>
    </w:p>
    <w:p>
      <w:r>
        <w:rPr>
          <w:b/>
        </w:rPr>
        <w:t>Particulate 2-line ferrihydrite (nominal Fe₅HO₈·4H₂O)</w:t>
      </w:r>
      <w:r>
        <w:t xml:space="preserve">  </w:t>
      </w:r>
    </w:p>
    <w:p>
      <w:r>
        <w:t>MW ≈ 480.285 g mol⁻¹; Fe mass = 5 × 55.845 = 279.225 g.</w:t>
      </w:r>
    </w:p>
    <w:p>
      <w:r>
        <w:rPr>
          <w:rFonts w:ascii="Consolas" w:hAnsi="Consolas"/>
          <w:i/>
        </w:rPr>
        <w:t>**Equation 7.** \(\omega_{\mathrm{Fe,Fhyd}} = 279.225 / 480.285 = 0.58137\) (**58.14% Fe**)</w:t>
      </w:r>
    </w:p>
    <w:p>
      <w:r>
        <w:rPr>
          <w:rFonts w:ascii="Consolas" w:hAnsi="Consolas"/>
          <w:i/>
        </w:rPr>
        <w:t>**Equation 8.** \(M_{\mathrm{Fhyd}} = M_{\mathrm{Fe}} / 0.58137\)</w:t>
      </w:r>
    </w:p>
    <w:p>
      <w:r>
        <w:rPr>
          <w:b/>
        </w:rPr>
        <w:t>Ferrous sulfate heptahydrate (FeSO₄·7H₂O)</w:t>
      </w:r>
      <w:r>
        <w:t xml:space="preserve">  </w:t>
      </w:r>
    </w:p>
    <w:p>
      <w:r>
        <w:t>MW ≈ 278.01 g mol⁻¹.</w:t>
      </w:r>
    </w:p>
    <w:p>
      <w:r>
        <w:rPr>
          <w:rFonts w:ascii="Consolas" w:hAnsi="Consolas"/>
          <w:i/>
        </w:rPr>
        <w:t>**Equation 9.** \(\omega_{\mathrm{Fe,FeSO4}} = 55.845 / 278.01 = 0.20087\) (**20.09% Fe**)</w:t>
      </w:r>
    </w:p>
    <w:p>
      <w:r>
        <w:rPr>
          <w:rFonts w:ascii="Consolas" w:hAnsi="Consolas"/>
          <w:i/>
        </w:rPr>
        <w:t>**Equation 10.** \(M_{\mathrm{FeSO4}} = M_{\mathrm{Fe}} / 0.20087\)</w:t>
      </w:r>
    </w:p>
    <w:p>
      <w:pPr>
        <w:pStyle w:val="Heading2"/>
      </w:pPr>
      <w:r>
        <w:t>4.2 Illustrative bulk masses for moderate focal scenario (2,448 t Fe yr⁻¹)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rPr>
                <w:b/>
              </w:rPr>
            </w:r>
            <w:r>
              <w:rPr>
                <w:b/>
              </w:rPr>
              <w:t>Metric</w:t>
            </w:r>
          </w:p>
        </w:tc>
        <w:tc>
          <w:tcPr>
            <w:tcW w:type="dxa" w:w="3120"/>
          </w:tcPr>
          <w:p>
            <w:r>
              <w:rPr>
                <w:b/>
              </w:rPr>
            </w:r>
            <w:r>
              <w:rPr>
                <w:b/>
              </w:rPr>
              <w:t>FeSO₄·7H₂O</w:t>
            </w:r>
          </w:p>
        </w:tc>
        <w:tc>
          <w:tcPr>
            <w:tcW w:type="dxa" w:w="3120"/>
          </w:tcPr>
          <w:p>
            <w:r>
              <w:rPr>
                <w:b/>
              </w:rPr>
            </w:r>
            <w:r>
              <w:rPr>
                <w:b/>
              </w:rPr>
              <w:t>Nominal ferrihydrite</w:t>
            </w:r>
          </w:p>
        </w:tc>
      </w:tr>
      <w:tr>
        <w:tc>
          <w:tcPr>
            <w:tcW w:type="dxa" w:w="3120"/>
          </w:tcPr>
          <w:p>
            <w:r/>
            <w:r>
              <w:t>Fe mass fraction</w:t>
            </w:r>
          </w:p>
        </w:tc>
        <w:tc>
          <w:tcPr>
            <w:tcW w:type="dxa" w:w="3120"/>
          </w:tcPr>
          <w:p>
            <w:r/>
            <w:r>
              <w:t>20.1%</w:t>
            </w:r>
          </w:p>
        </w:tc>
        <w:tc>
          <w:tcPr>
            <w:tcW w:type="dxa" w:w="3120"/>
          </w:tcPr>
          <w:p>
            <w:r/>
            <w:r>
              <w:t>58.14%</w:t>
            </w:r>
          </w:p>
        </w:tc>
      </w:tr>
      <w:tr>
        <w:tc>
          <w:tcPr>
            <w:tcW w:type="dxa" w:w="3120"/>
          </w:tcPr>
          <w:p>
            <w:r/>
            <w:r>
              <w:t>Illustrative bulk mass</w:t>
            </w:r>
          </w:p>
        </w:tc>
        <w:tc>
          <w:tcPr>
            <w:tcW w:type="dxa" w:w="3120"/>
          </w:tcPr>
          <w:p>
            <w:r/>
            <w:r>
              <w:t>≈ 12,185 t yr⁻¹</w:t>
            </w:r>
          </w:p>
        </w:tc>
        <w:tc>
          <w:tcPr>
            <w:tcW w:type="dxa" w:w="3120"/>
          </w:tcPr>
          <w:p>
            <w:r/>
            <w:r>
              <w:t>≈ 4,210 t yr⁻¹</w:t>
            </w:r>
          </w:p>
        </w:tc>
      </w:tr>
      <w:tr>
        <w:tc>
          <w:tcPr>
            <w:tcW w:type="dxa" w:w="3120"/>
          </w:tcPr>
          <w:p>
            <w:r/>
            <w:r>
              <w:t>Mass ratio vs sulfate</w:t>
            </w:r>
          </w:p>
        </w:tc>
        <w:tc>
          <w:tcPr>
            <w:tcW w:type="dxa" w:w="3120"/>
          </w:tcPr>
          <w:p>
            <w:r/>
            <w:r>
              <w:t>100%</w:t>
            </w:r>
          </w:p>
        </w:tc>
        <w:tc>
          <w:tcPr>
            <w:tcW w:type="dxa" w:w="3120"/>
          </w:tcPr>
          <w:p>
            <w:r/>
            <w:r>
              <w:t>~35% of sulfate mass (~65% less bulk)</w:t>
            </w:r>
          </w:p>
        </w:tc>
      </w:tr>
      <w:tr>
        <w:tc>
          <w:tcPr>
            <w:tcW w:type="dxa" w:w="3120"/>
          </w:tcPr>
          <w:p>
            <w:r/>
            <w:r>
              <w:t>Chemical state (typical literature use)</w:t>
            </w:r>
          </w:p>
        </w:tc>
        <w:tc>
          <w:tcPr>
            <w:tcW w:type="dxa" w:w="3120"/>
          </w:tcPr>
          <w:p>
            <w:r/>
            <w:r>
              <w:t>Often acidified Fe(II) solution</w:t>
            </w:r>
          </w:p>
        </w:tc>
        <w:tc>
          <w:tcPr>
            <w:tcW w:type="dxa" w:w="3120"/>
          </w:tcPr>
          <w:p>
            <w:r/>
            <w:r>
              <w:t>Neutral particulate / colloidal Fe(III)</w:t>
            </w:r>
          </w:p>
        </w:tc>
      </w:tr>
      <w:tr>
        <w:tc>
          <w:tcPr>
            <w:tcW w:type="dxa" w:w="3120"/>
          </w:tcPr>
          <w:p>
            <w:r/>
            <w:r>
              <w:t>Public framing</w:t>
            </w:r>
          </w:p>
        </w:tc>
        <w:tc>
          <w:tcPr>
            <w:tcW w:type="dxa" w:w="3120"/>
          </w:tcPr>
          <w:p>
            <w:r/>
            <w:r>
              <w:t>Not an Ocean Flux product</w:t>
            </w:r>
          </w:p>
        </w:tc>
        <w:tc>
          <w:tcPr>
            <w:tcW w:type="dxa" w:w="3120"/>
          </w:tcPr>
          <w:p>
            <w:r/>
            <w:r>
              <w:rPr>
                <w:b/>
              </w:rPr>
              <w:t>Hypothetical research mass-balance only</w:t>
            </w:r>
          </w:p>
        </w:tc>
      </w:tr>
    </w:tbl>
    <w:p>
      <w:r>
        <w:t xml:space="preserve">Natural ferrihydrite composition varies; percentages are </w:t>
      </w:r>
      <w:r>
        <w:rPr>
          <w:b/>
        </w:rPr>
        <w:t>nominal</w:t>
      </w:r>
      <w:r>
        <w:t xml:space="preserve">. Bioavailability, bloom community response, and ecological risk are </w:t>
      </w:r>
      <w:r>
        <w:rPr>
          <w:b/>
        </w:rPr>
        <w:t>uncertain</w:t>
      </w:r>
      <w:r>
        <w:t xml:space="preserve"> and require permitted research — they are not claimed as proven advantages for commercial sale.</w:t>
      </w:r>
    </w:p>
    <w:p>
      <w:pPr>
        <w:pStyle w:val="Heading1"/>
      </w:pPr>
      <w:r>
        <w:t>5. Uncertainty summary</w:t>
      </w:r>
    </w:p>
    <w:p>
      <w:pPr>
        <w:pStyle w:val="ListNumber"/>
      </w:pPr>
      <w:r>
        <w:t xml:space="preserve">Vertebrate Fe recycling rates are </w:t>
      </w:r>
      <w:r>
        <w:rPr>
          <w:b/>
        </w:rPr>
        <w:t>modelled/estimated</w:t>
      </w:r>
      <w:r>
        <w:t xml:space="preserve">, not continuous ETP time series.  </w:t>
      </w:r>
    </w:p>
    <w:p>
      <w:pPr>
        <w:pStyle w:val="ListNumber"/>
      </w:pPr>
      <w:r>
        <w:t xml:space="preserve">Le Mézo et al. (2022) find commercially targeted fish Fe cycling that is </w:t>
      </w:r>
      <w:r>
        <w:rPr>
          <w:b/>
        </w:rPr>
        <w:t>material but generally smaller</w:t>
      </w:r>
      <w:r>
        <w:t xml:space="preserve"> than Moreno and Haffa’s (2014) global excretion band when scoped to CTF size classes — treat fish Fe as </w:t>
      </w:r>
      <w:r>
        <w:rPr>
          <w:b/>
        </w:rPr>
        <w:t>uncertain within a factor of several</w:t>
      </w:r>
      <w:r>
        <w:t xml:space="preserve">.  </w:t>
      </w:r>
    </w:p>
    <w:p>
      <w:pPr>
        <w:pStyle w:val="ListNumber"/>
      </w:pPr>
      <w:r>
        <w:t xml:space="preserve">Domain areas and moderate 0.40 µmol m⁻² d⁻¹ target are </w:t>
      </w:r>
      <w:r>
        <w:rPr>
          <w:b/>
        </w:rPr>
        <w:t>scenario choices</w:t>
      </w:r>
      <w:r>
        <w:t xml:space="preserve">.  </w:t>
      </w:r>
    </w:p>
    <w:p>
      <w:pPr>
        <w:pStyle w:val="ListNumber"/>
      </w:pPr>
      <w:r>
        <w:t xml:space="preserve">Ambient ligand chemistry (Gledhill &amp; Buck, 2012; Tagliabue et al., 2017) often dominates bioavailability more than bulk Fe addition form.  </w:t>
      </w:r>
    </w:p>
    <w:p>
      <w:pPr>
        <w:pStyle w:val="ListNumber"/>
      </w:pPr>
      <w:r>
        <w:t>No claim is made that restoring calculated Fe mass restores historical ecosystems or carbon export.</w:t>
      </w:r>
    </w:p>
    <w:p>
      <w:pPr>
        <w:pStyle w:val="Heading1"/>
      </w:pPr>
      <w:r>
        <w:t>6. References (APA 7th Edition, corrected)</w:t>
      </w:r>
    </w:p>
    <w:p>
      <w:r>
        <w:t xml:space="preserve">Boyd, P. W., Jickells, T., Law, C. S., Blain, S., Boyle, E. A., Buesseler, K. O., Coale, K. H., Cullen, J. J., de Baar, H. J. W., Follows, M., Harvey, M., Lancelot, C., Levasseur, M., Owens, N. P. J., Pollard, R., Rivkin, R. B., Sarmiento, J., Schoemann, V., Smetacek, V., … Watson, A. J. (2007). Mesoscale iron enrichment experiments 1993–2005: Synthesis and future directions. </w:t>
      </w:r>
      <w:r>
        <w:rPr>
          <w:i/>
        </w:rPr>
        <w:t>Science, 315</w:t>
      </w:r>
      <w:r>
        <w:t>(5812), 612–617. https://doi.org/10.1126/science.1131669</w:t>
      </w:r>
    </w:p>
    <w:p>
      <w:r>
        <w:t xml:space="preserve">Christensen, V., Coll, M., Piroddi, C., Steenbeek, J., Buszowski, J., &amp; Pauly, D. (2014). A century of fish biomass decline in the ocean. </w:t>
      </w:r>
      <w:r>
        <w:rPr>
          <w:i/>
        </w:rPr>
        <w:t>Marine Ecology Progress Series, 512</w:t>
      </w:r>
      <w:r>
        <w:t>, 155–166. https://doi.org/10.3354/meps10946</w:t>
      </w:r>
    </w:p>
    <w:p>
      <w:r>
        <w:t xml:space="preserve">Fiedler, P. C., &amp; Talley, L. D. (2006). Hydrography of the eastern tropical Pacific: A review. </w:t>
      </w:r>
      <w:r>
        <w:rPr>
          <w:i/>
        </w:rPr>
        <w:t>Progress in Oceanography, 69</w:t>
      </w:r>
      <w:r>
        <w:t>(2–4), 143–180. https://doi.org/10.1016/j.pocean.2006.03.008</w:t>
      </w:r>
    </w:p>
    <w:p>
      <w:r>
        <w:t xml:space="preserve">Gledhill, M., &amp; Buck, K. N. (2012). The organic complexation of iron in the marine environment: A review. </w:t>
      </w:r>
      <w:r>
        <w:rPr>
          <w:i/>
        </w:rPr>
        <w:t>Frontiers in Microbiology, 3</w:t>
      </w:r>
      <w:r>
        <w:t>, Article 69. https://doi.org/10.3389/fmicb.2012.00069</w:t>
      </w:r>
    </w:p>
    <w:p>
      <w:r>
        <w:t xml:space="preserve">Le Mézo, P., Guiet, J., Scherrer, K., Bianchi, D., &amp; Galbraith, E. (2022). Global nutrient cycling by commercially targeted marine fish. </w:t>
      </w:r>
      <w:r>
        <w:rPr>
          <w:i/>
        </w:rPr>
        <w:t>Biogeosciences, 19</w:t>
      </w:r>
      <w:r>
        <w:t>(9), 2537–2555. https://doi.org/10.5194/bg-19-2537-2022</w:t>
      </w:r>
    </w:p>
    <w:p>
      <w:r>
        <w:t xml:space="preserve">Michel, F. M., Ehm, L., Antao, S. M., Lee, P. L., Chupas, P. J., Liu, G., Strongin, D. R., Schoonen, M. A. A., Phillips, B. L., &amp; Parise, J. B. (2007). The structure of ferrihydrite, a nanocrystalline material. </w:t>
      </w:r>
      <w:r>
        <w:rPr>
          <w:i/>
        </w:rPr>
        <w:t>Science, 316</w:t>
      </w:r>
      <w:r>
        <w:t>(5832), 1726–1729. https://doi.org/10.1126/science.1142525</w:t>
      </w:r>
    </w:p>
    <w:p>
      <w:r>
        <w:t xml:space="preserve">Michel, F. M., Hosein, H.-A., Hausner, D. B., Debnath, S., Parise, J. B., &amp; Strongin, D. R. (2010). Reactivity of ferritin and the structure of ferritin-derived ferrihydrite. </w:t>
      </w:r>
      <w:r>
        <w:rPr>
          <w:i/>
        </w:rPr>
        <w:t>Biochimica et Biophysica Acta (BBA) – General Subjects, 1800</w:t>
      </w:r>
      <w:r>
        <w:t>(8), 871–885. https://doi.org/10.1016/j.bbagen.2010.05.007</w:t>
      </w:r>
    </w:p>
    <w:p>
      <w:r>
        <w:t xml:space="preserve">Moreno, A. R., &amp; Haffa, A. L. M. (2014). The impact of fish and the commercial marine harvest on the ocean iron cycle. </w:t>
      </w:r>
      <w:r>
        <w:rPr>
          <w:i/>
        </w:rPr>
        <w:t>PLoS ONE, 9</w:t>
      </w:r>
      <w:r>
        <w:t>(9), Article e107690. https://doi.org/10.1371/journal.pone.0107690</w:t>
      </w:r>
    </w:p>
    <w:p>
      <w:r>
        <w:t xml:space="preserve">Myers, R. A., &amp; Worm, B. (2003). Rapid worldwide depletion of predatory fish communities. </w:t>
      </w:r>
      <w:r>
        <w:rPr>
          <w:i/>
        </w:rPr>
        <w:t>Nature, 423</w:t>
      </w:r>
      <w:r>
        <w:t>(6937), 280–283. https://doi.org/10.1038/nature01610</w:t>
      </w:r>
    </w:p>
    <w:p>
      <w:r>
        <w:t xml:space="preserve">Pauly, D., &amp; Zeller, D. (2016). Catch reconstructions reveal that global marine fisheries catches are higher than reported and declining. </w:t>
      </w:r>
      <w:r>
        <w:rPr>
          <w:i/>
        </w:rPr>
        <w:t>Nature Communications, 7</w:t>
      </w:r>
      <w:r>
        <w:t>, Article 10244. https://doi.org/10.1038/ncomms10244</w:t>
      </w:r>
    </w:p>
    <w:p>
      <w:r>
        <w:t xml:space="preserve">Pennington, J. T., Mahoney, K. L., Kuwahara, V. S., Kolber, D. D., Calienes, R., &amp; Chavez, F. P. (2006). Primary production in the eastern tropical Pacific: A review. </w:t>
      </w:r>
      <w:r>
        <w:rPr>
          <w:i/>
        </w:rPr>
        <w:t>Progress in Oceanography, 69</w:t>
      </w:r>
      <w:r>
        <w:t>(2–4), 181–217. https://doi.org/10.1016/j.pocean.2006.03.012</w:t>
      </w:r>
    </w:p>
    <w:p>
      <w:r>
        <w:t xml:space="preserve">Ratnarajah, L., Bowie, A. R., Lannuzel, D., Meiners, K. M., &amp; Nicol, S. (2014). The biogeochemical role of baleen whales and krill in Southern Ocean nutrient cycling. </w:t>
      </w:r>
      <w:r>
        <w:rPr>
          <w:i/>
        </w:rPr>
        <w:t>PLoS ONE, 9</w:t>
      </w:r>
      <w:r>
        <w:t>(12), Article e114067. https://doi.org/10.1371/journal.pone.0114067</w:t>
      </w:r>
    </w:p>
    <w:p>
      <w:r>
        <w:t xml:space="preserve">Ratnarajah, L., Nicol, S., &amp; Bowie, A. R. (2018). Pelagic iron recycling in the Southern Ocean: Exploring the contribution of marine animals. </w:t>
      </w:r>
      <w:r>
        <w:rPr>
          <w:i/>
        </w:rPr>
        <w:t>Frontiers in Marine Science, 5</w:t>
      </w:r>
      <w:r>
        <w:t>, Article 109. https://doi.org/10.3389/fmars.2018.00109</w:t>
      </w:r>
    </w:p>
    <w:p>
      <w:r>
        <w:t xml:space="preserve">Silver, M. W., Bargu, S., Coale, S. L., Benitez-Nelson, C. R., Garcia, A. C., Roberts, K. J., Selph, K. E., &amp; Coale, K. H. (2010). Toxic diatom </w:t>
      </w:r>
      <w:r>
        <w:rPr>
          <w:i/>
        </w:rPr>
        <w:t>Pseudo-nitzschia</w:t>
      </w:r>
      <w:r>
        <w:t xml:space="preserve"> in ocean iron fertilization experiments. </w:t>
      </w:r>
      <w:r>
        <w:rPr>
          <w:i/>
        </w:rPr>
        <w:t>Proceedings of the National Academy of Sciences, 107</w:t>
      </w:r>
      <w:r>
        <w:t>(48), 20762–20767. https://doi.org/10.1073/pnas.1009695107</w:t>
      </w:r>
    </w:p>
    <w:p>
      <w:r>
        <w:t xml:space="preserve">Tagliabue, A., Bowie, A. R., Boyd, P. W., Buck, K. N., Johnson, K. S., &amp; Saito, M. A. (2017). The integral role of iron in ocean biogeochemistry. </w:t>
      </w:r>
      <w:r>
        <w:rPr>
          <w:i/>
        </w:rPr>
        <w:t>Nature, 543</w:t>
      </w:r>
      <w:r>
        <w:t>(7643), 51–59. https://doi.org/10.1038/nature21058</w:t>
      </w:r>
    </w:p>
    <w:p>
      <w:r>
        <w:t xml:space="preserve">Tremblay-Boyer, L., Gascuel, D., Watson, R., Christensen, V., &amp; Pauly, D. (2011). Modelling the effects of fishing on the biomass of the world’s oceans from 1950 to 2006. </w:t>
      </w:r>
      <w:r>
        <w:rPr>
          <w:i/>
        </w:rPr>
        <w:t>Marine Ecology Progress Series, 442</w:t>
      </w:r>
      <w:r>
        <w:t>, 169–185. https://doi.org/10.3354/meps09375</w:t>
      </w:r>
    </w:p>
    <w:p>
      <w:r>
        <w:t xml:space="preserve">Trick, C. G., Bill, B. D., Cochlan, W. P., Wells, M. L., Trainer, V. L., &amp; Pickell, L. D. (2010). Iron enrichment stimulates toxic diatom production in high-nitrate, low-chlorophyll areas. </w:t>
      </w:r>
      <w:r>
        <w:rPr>
          <w:i/>
        </w:rPr>
        <w:t>Proceedings of the National Academy of Sciences, 107</w:t>
      </w:r>
      <w:r>
        <w:t>(13), 5887–5892. https://doi.org/10.1073/pnas.0910579107</w:t>
      </w:r>
    </w:p>
    <w:p>
      <w:r>
        <w:rPr>
          <w:i/>
        </w:rPr>
        <w:t>Ocean Flux — research methodology for public science communication. Not a permit. Not commercial OIF.</w:t>
      </w:r>
    </w:p>
    <w:p>
      <w:r>
        <w:rPr>
          <w:i/>
          <w:color w:val="3D5563"/>
          <w:sz w:val="18"/>
        </w:rPr>
        <w:t>Ocean Flux — research / literature synthesis. Not a permit. Not commercial OIF. Carbon not commercialised until published MRV.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